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1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8460"/>
      </w:tblGrid>
      <w:tr>
        <w:tc>
          <w:tcPr>
            <w:tcW w:type="dxa" w:w="2700"/>
            <w:tcBorders>
              <w:top w:val="none" w:color="FFFFFF" w:sz="0"/>
              <w:left w:val="none" w:color="FFFFFF" w:sz="0"/>
              <w:bottom w:val="none" w:color="FFFFFF" w:sz="0"/>
              <w:right w:val="none" w:color="FFFFFF" w:sz="0"/>
            </w:tcBorders>
            <w:vAlign w:val="center"/>
          </w:tcPr>
          <w:p>
            <w:r>
              <w:drawing>
                <wp:inline distT="0" distB="0" distL="0" distR="0">
                  <wp:extent cx="1428750" cy="581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428750" cy="581025"/>
                          </a:xfrm>
                          <a:prstGeom prst="rect">
                            <a:avLst/>
                          </a:prstGeom>
                        </pic:spPr>
                      </pic:pic>
                    </a:graphicData>
                  </a:graphic>
                </wp:inline>
              </w:drawing>
            </w:r>
          </w:p>
        </w:tc>
        <w:tc>
          <w:tcPr>
            <w:tcW w:type="dxa" w:w="8460"/>
            <w:tcBorders>
              <w:top w:val="none" w:color="FFFFFF" w:sz="0"/>
              <w:left w:val="none" w:color="FFFFFF" w:sz="0"/>
              <w:bottom w:val="none" w:color="FFFFFF" w:sz="0"/>
              <w:right w:val="none" w:color="FFFFFF" w:sz="0"/>
            </w:tcBorders>
            <w:vAlign w:val="center"/>
          </w:tcPr>
          <w:p>
            <w:pPr>
              <w:spacing w:after="30"/>
            </w:pPr>
            <w:r>
              <w:rPr>
                <w:rFonts w:ascii="Montserrat" w:cs="Montserrat" w:eastAsia="Montserrat" w:hAnsi="Montserrat"/>
                <w:b/>
                <w:bCs/>
                <w:color w:val="67797E"/>
                <w:spacing w:val="40"/>
                <w:sz w:val="14"/>
                <w:szCs w:val="14"/>
              </w:rPr>
              <w:t xml:space="preserve">MICHIGAN SECTION 35P  |  HIGH-IMPACT TUTORING GRANT</w:t>
            </w:r>
          </w:p>
          <w:p>
            <w:pPr>
              <w:spacing w:after="0" w:line="340"/>
            </w:pPr>
            <w:r>
              <w:rPr>
                <w:rFonts w:ascii="PT Serif" w:cs="PT Serif" w:eastAsia="PT Serif" w:hAnsi="PT Serif"/>
                <w:b/>
                <w:bCs/>
                <w:color w:val="1B3942"/>
                <w:sz w:val="34"/>
                <w:szCs w:val="34"/>
              </w:rPr>
              <w:t xml:space="preserve">Everything You Need to Know About Michigan's Tutoring Grant</w:t>
            </w:r>
          </w:p>
        </w:tc>
      </w:tr>
    </w:tbl>
    <w:p>
      <w:pPr>
        <w:spacing w:after="160" w:before="160" w:line="260"/>
      </w:pPr>
      <w:r>
        <w:rPr>
          <w:rFonts w:ascii="Montserrat" w:cs="Montserrat" w:eastAsia="Montserrat" w:hAnsi="Montserrat"/>
          <w:color w:val="231F20"/>
          <w:sz w:val="18"/>
          <w:szCs w:val="18"/>
        </w:rPr>
        <w:t xml:space="preserve">Michigan is funding high-impact tutoring through eligible tutoring partners like GROW. Your partner writes the application. Your district signs a letter of support. Here is everything else, on one page.</w:t>
      </w:r>
    </w:p>
    <w:tbl>
      <w:tblPr>
        <w:tblW w:type="dxa" w:w="111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80"/>
        <w:gridCol w:w="200"/>
        <w:gridCol w:w="5480"/>
      </w:tblGrid>
      <w:tr>
        <w:tc>
          <w:tcPr>
            <w:tcW w:type="dxa" w:w="5480"/>
            <w:tcBorders>
              <w:top w:val="none" w:color="FFFFFF" w:sz="0"/>
              <w:left w:val="none" w:color="FFFFFF" w:sz="0"/>
              <w:bottom w:val="none" w:color="FFFFFF" w:sz="0"/>
              <w:right w:val="none" w:color="FFFFFF" w:sz="0"/>
            </w:tcBorders>
            <w:shd w:fill="F9F3EB" w:color="auto" w:val="clear"/>
            <w:tcMar>
              <w:top w:type="dxa" w:w="150"/>
              <w:left w:type="dxa" w:w="200"/>
              <w:bottom w:type="dxa" w:w="120"/>
              <w:right w:type="dxa" w:w="200"/>
            </w:tcMar>
          </w:tcPr>
          <w:p>
            <w:pPr>
              <w:spacing w:after="80"/>
            </w:pPr>
            <w:r>
              <w:rPr>
                <w:rFonts w:ascii="PT Serif" w:cs="PT Serif" w:eastAsia="PT Serif" w:hAnsi="PT Serif"/>
                <w:b/>
                <w:bCs/>
                <w:color w:val="1B3942"/>
                <w:sz w:val="24"/>
                <w:szCs w:val="24"/>
              </w:rPr>
              <w:t xml:space="preserve">What It Funds</w:t>
            </w:r>
          </w:p>
          <w:p>
            <w:pPr>
              <w:pStyle w:val="ListParagraph"/>
              <w:numPr>
                <w:ilvl w:val="0"/>
                <w:numId w:val="2"/>
              </w:numPr>
              <w:spacing w:after="50" w:line="255"/>
            </w:pPr>
            <w:r>
              <w:rPr>
                <w:rFonts w:ascii="Montserrat" w:cs="Montserrat" w:eastAsia="Montserrat" w:hAnsi="Montserrat"/>
                <w:color w:val="231F20"/>
                <w:sz w:val="18"/>
                <w:szCs w:val="18"/>
              </w:rPr>
              <w:t xml:space="preserve">$44.4 million in competitive grants, awarded to tutoring partners</w:t>
            </w:r>
          </w:p>
          <w:p>
            <w:pPr>
              <w:pStyle w:val="ListParagraph"/>
              <w:numPr>
                <w:ilvl w:val="0"/>
                <w:numId w:val="2"/>
              </w:numPr>
              <w:spacing w:after="50" w:line="255"/>
            </w:pPr>
            <w:r>
              <w:rPr>
                <w:rFonts w:ascii="Montserrat" w:cs="Montserrat" w:eastAsia="Montserrat" w:hAnsi="Montserrat"/>
                <w:color w:val="231F20"/>
                <w:sz w:val="18"/>
                <w:szCs w:val="18"/>
              </w:rPr>
              <w:t xml:space="preserve">Tutoring before, during, or after the school day</w:t>
            </w:r>
          </w:p>
          <w:p>
            <w:pPr>
              <w:pStyle w:val="ListParagraph"/>
              <w:numPr>
                <w:ilvl w:val="0"/>
                <w:numId w:val="2"/>
              </w:numPr>
              <w:spacing w:after="50" w:line="255"/>
            </w:pPr>
            <w:r>
              <w:rPr>
                <w:rFonts w:ascii="Montserrat" w:cs="Montserrat" w:eastAsia="Montserrat" w:hAnsi="Montserrat"/>
                <w:color w:val="231F20"/>
                <w:sz w:val="18"/>
                <w:szCs w:val="18"/>
              </w:rPr>
              <w:t xml:space="preserve">Groups of four students or fewer, at least two sessions a week</w:t>
            </w:r>
          </w:p>
          <w:p>
            <w:pPr>
              <w:pStyle w:val="ListParagraph"/>
              <w:numPr>
                <w:ilvl w:val="0"/>
                <w:numId w:val="2"/>
              </w:numPr>
              <w:spacing w:after="50" w:line="255"/>
            </w:pPr>
            <w:r>
              <w:rPr>
                <w:rFonts w:ascii="Montserrat" w:cs="Montserrat" w:eastAsia="Montserrat" w:hAnsi="Montserrat"/>
                <w:color w:val="231F20"/>
                <w:sz w:val="18"/>
                <w:szCs w:val="18"/>
              </w:rPr>
              <w:t xml:space="preserve">Trained tutors, a structured curriculum, and ongoing progress checks</w:t>
            </w:r>
          </w:p>
          <w:p>
            <w:pPr>
              <w:pStyle w:val="ListParagraph"/>
              <w:numPr>
                <w:ilvl w:val="0"/>
                <w:numId w:val="2"/>
              </w:numPr>
              <w:spacing w:after="50" w:line="255"/>
            </w:pPr>
            <w:r>
              <w:rPr>
                <w:rFonts w:ascii="Montserrat" w:cs="Montserrat" w:eastAsia="Montserrat" w:hAnsi="Montserrat"/>
                <w:color w:val="231F20"/>
                <w:sz w:val="18"/>
                <w:szCs w:val="18"/>
              </w:rPr>
              <w:t xml:space="preserve">If funding runs short, MDE prioritizes districts with the lowest M-STEP literacy scores</w:t>
            </w:r>
          </w:p>
        </w:tc>
        <w:tc>
          <w:tcPr>
            <w:tcW w:type="dxa" w:w="200"/>
            <w:tcBorders>
              <w:top w:val="none" w:color="FFFFFF" w:sz="0"/>
              <w:left w:val="none" w:color="FFFFFF" w:sz="0"/>
              <w:bottom w:val="none" w:color="FFFFFF" w:sz="0"/>
              <w:right w:val="none" w:color="FFFFFF" w:sz="0"/>
            </w:tcBorders>
          </w:tcPr>
          <w:p/>
        </w:tc>
        <w:tc>
          <w:tcPr>
            <w:tcW w:type="dxa" w:w="5480"/>
            <w:tcBorders>
              <w:top w:val="none" w:color="FFFFFF" w:sz="0"/>
              <w:left w:val="none" w:color="FFFFFF" w:sz="0"/>
              <w:bottom w:val="none" w:color="FFFFFF" w:sz="0"/>
              <w:right w:val="none" w:color="FFFFFF" w:sz="0"/>
            </w:tcBorders>
            <w:shd w:fill="F9F3EB" w:color="auto" w:val="clear"/>
            <w:tcMar>
              <w:top w:type="dxa" w:w="150"/>
              <w:left w:type="dxa" w:w="200"/>
              <w:bottom w:type="dxa" w:w="120"/>
              <w:right w:type="dxa" w:w="200"/>
            </w:tcMar>
          </w:tcPr>
          <w:p>
            <w:pPr>
              <w:spacing w:after="80"/>
            </w:pPr>
            <w:r>
              <w:rPr>
                <w:rFonts w:ascii="PT Serif" w:cs="PT Serif" w:eastAsia="PT Serif" w:hAnsi="PT Serif"/>
                <w:b/>
                <w:bCs/>
                <w:color w:val="1B3942"/>
                <w:sz w:val="24"/>
                <w:szCs w:val="24"/>
              </w:rPr>
              <w:t xml:space="preserve">Who Does What</w:t>
            </w:r>
          </w:p>
          <w:p>
            <w:pPr>
              <w:pStyle w:val="ListParagraph"/>
              <w:numPr>
                <w:ilvl w:val="0"/>
                <w:numId w:val="2"/>
              </w:numPr>
              <w:spacing w:after="50" w:line="255"/>
            </w:pPr>
            <w:r>
              <w:rPr>
                <w:rFonts w:ascii="Montserrat" w:cs="Montserrat" w:eastAsia="Montserrat" w:hAnsi="Montserrat"/>
                <w:b/>
                <w:bCs/>
                <w:color w:val="1B3942"/>
                <w:sz w:val="18"/>
                <w:szCs w:val="18"/>
              </w:rPr>
              <w:t xml:space="preserve">Tutoring partner: </w:t>
            </w:r>
            <w:r>
              <w:rPr>
                <w:rFonts w:ascii="Montserrat" w:cs="Montserrat" w:eastAsia="Montserrat" w:hAnsi="Montserrat"/>
                <w:color w:val="231F20"/>
                <w:sz w:val="18"/>
                <w:szCs w:val="18"/>
              </w:rPr>
              <w:t xml:space="preserve">writes the application and budget, runs the program, and reports results</w:t>
            </w:r>
          </w:p>
          <w:p>
            <w:pPr>
              <w:pStyle w:val="ListParagraph"/>
              <w:numPr>
                <w:ilvl w:val="0"/>
                <w:numId w:val="2"/>
              </w:numPr>
              <w:spacing w:after="50" w:line="255"/>
            </w:pPr>
            <w:r>
              <w:rPr>
                <w:rFonts w:ascii="Montserrat" w:cs="Montserrat" w:eastAsia="Montserrat" w:hAnsi="Montserrat"/>
                <w:b/>
                <w:bCs/>
                <w:color w:val="1B3942"/>
                <w:sz w:val="18"/>
                <w:szCs w:val="18"/>
              </w:rPr>
              <w:t xml:space="preserve">Your district: </w:t>
            </w:r>
            <w:r>
              <w:rPr>
                <w:rFonts w:ascii="Montserrat" w:cs="Montserrat" w:eastAsia="Montserrat" w:hAnsi="Montserrat"/>
                <w:color w:val="231F20"/>
                <w:sz w:val="18"/>
                <w:szCs w:val="18"/>
              </w:rPr>
              <w:t xml:space="preserve">signs a letter of support and follows through on it</w:t>
            </w:r>
          </w:p>
          <w:p>
            <w:pPr>
              <w:pStyle w:val="ListParagraph"/>
              <w:numPr>
                <w:ilvl w:val="0"/>
                <w:numId w:val="2"/>
              </w:numPr>
              <w:spacing w:after="50" w:line="255"/>
            </w:pPr>
            <w:r>
              <w:rPr>
                <w:rFonts w:ascii="Montserrat" w:cs="Montserrat" w:eastAsia="Montserrat" w:hAnsi="Montserrat"/>
                <w:b/>
                <w:bCs/>
                <w:color w:val="1B3942"/>
                <w:sz w:val="18"/>
                <w:szCs w:val="18"/>
              </w:rPr>
              <w:t xml:space="preserve">Fiscal agent (often your ISD): </w:t>
            </w:r>
            <w:r>
              <w:rPr>
                <w:rFonts w:ascii="Montserrat" w:cs="Montserrat" w:eastAsia="Montserrat" w:hAnsi="Montserrat"/>
                <w:color w:val="231F20"/>
                <w:sz w:val="18"/>
                <w:szCs w:val="18"/>
              </w:rPr>
              <w:t xml:space="preserve">submits the application and passes funds to the partner, keeping up to 0.5% for administration</w:t>
            </w:r>
          </w:p>
          <w:p>
            <w:pPr>
              <w:spacing w:after="0" w:before="40"/>
            </w:pPr>
            <w:r>
              <w:rPr>
                <w:rFonts w:ascii="Montserrat" w:cs="Montserrat" w:eastAsia="Montserrat" w:hAnsi="Montserrat"/>
                <w:i/>
                <w:iCs/>
                <w:color w:val="67797E"/>
                <w:sz w:val="16"/>
                <w:szCs w:val="16"/>
              </w:rPr>
              <w:t xml:space="preserve">Michigan law says the grant work should fall primarily on the tutoring partner, not the district.</w:t>
            </w:r>
          </w:p>
        </w:tc>
      </w:tr>
      <w:tr>
        <w:tc>
          <w:tcPr>
            <w:tcW w:type="dxa" w:w="11160"/>
            <w:gridSpan w:val="3"/>
            <w:tcBorders>
              <w:top w:val="none" w:color="FFFFFF" w:sz="0"/>
              <w:left w:val="none" w:color="FFFFFF" w:sz="0"/>
              <w:bottom w:val="none" w:color="FFFFFF" w:sz="0"/>
              <w:right w:val="none" w:color="FFFFFF" w:sz="0"/>
            </w:tcBorders>
          </w:tcPr>
          <w:p>
            <w:pPr>
              <w:spacing w:after="0" w:line="120"/>
            </w:pPr>
          </w:p>
        </w:tc>
      </w:tr>
      <w:tr>
        <w:tc>
          <w:tcPr>
            <w:tcW w:type="dxa" w:w="5480"/>
            <w:tcBorders>
              <w:top w:val="none" w:color="FFFFFF" w:sz="0"/>
              <w:left w:val="none" w:color="FFFFFF" w:sz="0"/>
              <w:bottom w:val="none" w:color="FFFFFF" w:sz="0"/>
              <w:right w:val="none" w:color="FFFFFF" w:sz="0"/>
            </w:tcBorders>
            <w:shd w:fill="F9F3EB" w:color="auto" w:val="clear"/>
            <w:tcMar>
              <w:top w:type="dxa" w:w="150"/>
              <w:left w:type="dxa" w:w="200"/>
              <w:bottom w:type="dxa" w:w="120"/>
              <w:right w:type="dxa" w:w="200"/>
            </w:tcMar>
          </w:tcPr>
          <w:p>
            <w:pPr>
              <w:spacing w:after="80"/>
            </w:pPr>
            <w:r>
              <w:rPr>
                <w:rFonts w:ascii="PT Serif" w:cs="PT Serif" w:eastAsia="PT Serif" w:hAnsi="PT Serif"/>
                <w:b/>
                <w:bCs/>
                <w:color w:val="1B3942"/>
                <w:sz w:val="24"/>
                <w:szCs w:val="24"/>
              </w:rPr>
              <w:t xml:space="preserve">What Your District Agrees To</w:t>
            </w:r>
          </w:p>
          <w:p>
            <w:pPr>
              <w:pStyle w:val="ListParagraph"/>
              <w:numPr>
                <w:ilvl w:val="0"/>
                <w:numId w:val="2"/>
              </w:numPr>
              <w:spacing w:after="50" w:line="255"/>
            </w:pPr>
            <w:r>
              <w:rPr>
                <w:rFonts w:ascii="Montserrat" w:cs="Montserrat" w:eastAsia="Montserrat" w:hAnsi="Montserrat"/>
                <w:color w:val="231F20"/>
                <w:sz w:val="18"/>
                <w:szCs w:val="18"/>
              </w:rPr>
              <w:t xml:space="preserve">Choose students with us and tell their families about the program</w:t>
            </w:r>
          </w:p>
          <w:p>
            <w:pPr>
              <w:pStyle w:val="ListParagraph"/>
              <w:numPr>
                <w:ilvl w:val="0"/>
                <w:numId w:val="2"/>
              </w:numPr>
              <w:spacing w:after="50" w:line="255"/>
            </w:pPr>
            <w:r>
              <w:rPr>
                <w:rFonts w:ascii="Montserrat" w:cs="Montserrat" w:eastAsia="Montserrat" w:hAnsi="Montserrat"/>
                <w:color w:val="231F20"/>
                <w:sz w:val="18"/>
                <w:szCs w:val="18"/>
              </w:rPr>
              <w:t xml:space="preserve">Set aside time for tutoring outside core classroom instruction</w:t>
            </w:r>
          </w:p>
          <w:p>
            <w:pPr>
              <w:pStyle w:val="ListParagraph"/>
              <w:numPr>
                <w:ilvl w:val="0"/>
                <w:numId w:val="2"/>
              </w:numPr>
              <w:spacing w:after="50" w:line="255"/>
            </w:pPr>
            <w:r>
              <w:rPr>
                <w:rFonts w:ascii="Montserrat" w:cs="Montserrat" w:eastAsia="Montserrat" w:hAnsi="Montserrat"/>
                <w:color w:val="231F20"/>
                <w:sz w:val="18"/>
                <w:szCs w:val="18"/>
              </w:rPr>
              <w:t xml:space="preserve">Name a point person at the district and at each school</w:t>
            </w:r>
          </w:p>
          <w:p>
            <w:pPr>
              <w:pStyle w:val="ListParagraph"/>
              <w:numPr>
                <w:ilvl w:val="0"/>
                <w:numId w:val="2"/>
              </w:numPr>
              <w:spacing w:after="50" w:line="255"/>
            </w:pPr>
            <w:r>
              <w:rPr>
                <w:rFonts w:ascii="Montserrat" w:cs="Montserrat" w:eastAsia="Montserrat" w:hAnsi="Montserrat"/>
                <w:color w:val="231F20"/>
                <w:sz w:val="18"/>
                <w:szCs w:val="18"/>
              </w:rPr>
              <w:t xml:space="preserve">Share data, join training, and keep attendance on track</w:t>
            </w:r>
          </w:p>
          <w:p>
            <w:pPr>
              <w:pStyle w:val="ListParagraph"/>
              <w:numPr>
                <w:ilvl w:val="0"/>
                <w:numId w:val="2"/>
              </w:numPr>
              <w:spacing w:after="50" w:line="255"/>
            </w:pPr>
            <w:r>
              <w:rPr>
                <w:rFonts w:ascii="Montserrat" w:cs="Montserrat" w:eastAsia="Montserrat" w:hAnsi="Montserrat"/>
                <w:color w:val="231F20"/>
                <w:sz w:val="18"/>
                <w:szCs w:val="18"/>
              </w:rPr>
              <w:t xml:space="preserve">Fold tutoring into your MICIP plan where possible</w:t>
            </w:r>
          </w:p>
          <w:p>
            <w:pPr>
              <w:spacing w:after="0" w:before="40"/>
            </w:pPr>
            <w:r>
              <w:rPr>
                <w:rFonts w:ascii="Montserrat" w:cs="Montserrat" w:eastAsia="Montserrat" w:hAnsi="Montserrat"/>
                <w:i/>
                <w:iCs/>
                <w:color w:val="67797E"/>
                <w:sz w:val="16"/>
                <w:szCs w:val="16"/>
              </w:rPr>
              <w:t xml:space="preserve">MDE's letter is clear that district responsibilities stop there.</w:t>
            </w:r>
          </w:p>
        </w:tc>
        <w:tc>
          <w:tcPr>
            <w:tcW w:type="dxa" w:w="200"/>
            <w:tcBorders>
              <w:top w:val="none" w:color="FFFFFF" w:sz="0"/>
              <w:left w:val="none" w:color="FFFFFF" w:sz="0"/>
              <w:bottom w:val="none" w:color="FFFFFF" w:sz="0"/>
              <w:right w:val="none" w:color="FFFFFF" w:sz="0"/>
            </w:tcBorders>
          </w:tcPr>
          <w:p/>
        </w:tc>
        <w:tc>
          <w:tcPr>
            <w:tcW w:type="dxa" w:w="5480"/>
            <w:tcBorders>
              <w:top w:val="none" w:color="FFFFFF" w:sz="0"/>
              <w:left w:val="none" w:color="FFFFFF" w:sz="0"/>
              <w:bottom w:val="none" w:color="FFFFFF" w:sz="0"/>
              <w:right w:val="none" w:color="FFFFFF" w:sz="0"/>
            </w:tcBorders>
            <w:shd w:fill="F9F3EB" w:color="auto" w:val="clear"/>
            <w:tcMar>
              <w:top w:type="dxa" w:w="150"/>
              <w:left w:type="dxa" w:w="200"/>
              <w:bottom w:type="dxa" w:w="120"/>
              <w:right w:type="dxa" w:w="200"/>
            </w:tcMar>
          </w:tcPr>
          <w:p>
            <w:pPr>
              <w:spacing w:after="80"/>
            </w:pPr>
            <w:r>
              <w:rPr>
                <w:rFonts w:ascii="PT Serif" w:cs="PT Serif" w:eastAsia="PT Serif" w:hAnsi="PT Serif"/>
                <w:b/>
                <w:bCs/>
                <w:color w:val="1B3942"/>
                <w:sz w:val="24"/>
                <w:szCs w:val="24"/>
              </w:rPr>
              <w:t xml:space="preserve">What Paper Handles</w:t>
            </w:r>
          </w:p>
          <w:p>
            <w:pPr>
              <w:pStyle w:val="ListParagraph"/>
              <w:numPr>
                <w:ilvl w:val="0"/>
                <w:numId w:val="2"/>
              </w:numPr>
              <w:spacing w:after="50" w:line="255"/>
            </w:pPr>
            <w:r>
              <w:rPr>
                <w:rFonts w:ascii="Montserrat" w:cs="Montserrat" w:eastAsia="Montserrat" w:hAnsi="Montserrat"/>
                <w:color w:val="231F20"/>
                <w:sz w:val="18"/>
                <w:szCs w:val="18"/>
              </w:rPr>
              <w:t xml:space="preserve">Writes your application narrative and budget</w:t>
            </w:r>
          </w:p>
          <w:p>
            <w:pPr>
              <w:pStyle w:val="ListParagraph"/>
              <w:numPr>
                <w:ilvl w:val="0"/>
                <w:numId w:val="2"/>
              </w:numPr>
              <w:spacing w:after="50" w:line="255"/>
            </w:pPr>
            <w:r>
              <w:rPr>
                <w:rFonts w:ascii="Montserrat" w:cs="Montserrat" w:eastAsia="Montserrat" w:hAnsi="Montserrat"/>
                <w:color w:val="231F20"/>
                <w:sz w:val="18"/>
                <w:szCs w:val="18"/>
              </w:rPr>
              <w:t xml:space="preserve">Hires, trains, and schedules tutors, with the same tutor for each group</w:t>
            </w:r>
          </w:p>
          <w:p>
            <w:pPr>
              <w:pStyle w:val="ListParagraph"/>
              <w:numPr>
                <w:ilvl w:val="0"/>
                <w:numId w:val="2"/>
              </w:numPr>
              <w:spacing w:after="50" w:line="255"/>
            </w:pPr>
            <w:r>
              <w:rPr>
                <w:rFonts w:ascii="Montserrat" w:cs="Montserrat" w:eastAsia="Montserrat" w:hAnsi="Montserrat"/>
                <w:color w:val="231F20"/>
                <w:sz w:val="18"/>
                <w:szCs w:val="18"/>
              </w:rPr>
              <w:t xml:space="preserve">Builds sessions from your pacing guide and standards</w:t>
            </w:r>
          </w:p>
          <w:p>
            <w:pPr>
              <w:pStyle w:val="ListParagraph"/>
              <w:numPr>
                <w:ilvl w:val="0"/>
                <w:numId w:val="2"/>
              </w:numPr>
              <w:spacing w:after="50" w:line="255"/>
            </w:pPr>
            <w:r>
              <w:rPr>
                <w:rFonts w:ascii="Montserrat" w:cs="Montserrat" w:eastAsia="Montserrat" w:hAnsi="Montserrat"/>
                <w:color w:val="231F20"/>
                <w:sz w:val="18"/>
                <w:szCs w:val="18"/>
              </w:rPr>
              <w:t xml:space="preserve">Tracks student progress and reports to your team and MDE</w:t>
            </w:r>
          </w:p>
          <w:p>
            <w:pPr>
              <w:pStyle w:val="ListParagraph"/>
              <w:numPr>
                <w:ilvl w:val="0"/>
                <w:numId w:val="2"/>
              </w:numPr>
              <w:spacing w:after="50" w:line="255"/>
            </w:pPr>
            <w:r>
              <w:rPr>
                <w:rFonts w:ascii="Montserrat" w:cs="Montserrat" w:eastAsia="Montserrat" w:hAnsi="Montserrat"/>
                <w:color w:val="231F20"/>
                <w:sz w:val="18"/>
                <w:szCs w:val="18"/>
              </w:rPr>
              <w:t xml:space="preserve">Coordinates launch with your point person</w:t>
            </w:r>
          </w:p>
        </w:tc>
      </w:tr>
    </w:tbl>
    <w:p>
      <w:pPr>
        <w:spacing w:after="200"/>
      </w:pPr>
    </w:p>
    <w:p>
      <w:pPr>
        <w:spacing w:after="30"/>
      </w:pPr>
      <w:r>
        <w:rPr>
          <w:rFonts w:ascii="Montserrat" w:cs="Montserrat" w:eastAsia="Montserrat" w:hAnsi="Montserrat"/>
          <w:b/>
          <w:bCs/>
          <w:color w:val="1B3942"/>
          <w:spacing w:val="40"/>
          <w:sz w:val="14"/>
          <w:szCs w:val="14"/>
        </w:rPr>
        <w:t xml:space="preserve">KEY DATES</w:t>
      </w:r>
    </w:p>
    <w:tbl>
      <w:tblPr>
        <w:tblW w:type="dxa" w:w="111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32"/>
        <w:gridCol w:w="2232"/>
        <w:gridCol w:w="2232"/>
        <w:gridCol w:w="2232"/>
        <w:gridCol w:w="2232"/>
      </w:tblGrid>
      <w:tr>
        <w:tc>
          <w:tcPr>
            <w:tcW w:type="dxa" w:w="2232"/>
            <w:tcBorders>
              <w:top w:val="single" w:color="1B3942" w:sz="12"/>
              <w:left w:val="none" w:color="FFFFFF" w:sz="0"/>
              <w:bottom w:val="none" w:color="FFFFFF" w:sz="0"/>
              <w:right w:val="none" w:color="FFFFFF" w:sz="0"/>
            </w:tcBorders>
            <w:tcMar>
              <w:top w:type="dxa" w:w="100"/>
              <w:left w:type="dxa" w:w="60"/>
              <w:bottom w:type="dxa" w:w="60"/>
              <w:right w:type="dxa" w:w="120"/>
            </w:tcMar>
          </w:tcPr>
          <w:p>
            <w:pPr>
              <w:spacing w:after="20"/>
            </w:pPr>
            <w:r>
              <w:rPr>
                <w:rFonts w:ascii="PT Serif" w:cs="PT Serif" w:eastAsia="PT Serif" w:hAnsi="PT Serif"/>
                <w:b/>
                <w:bCs/>
                <w:color w:val="1B3942"/>
                <w:sz w:val="30"/>
                <w:szCs w:val="30"/>
              </w:rPr>
              <w:t xml:space="preserve">Nov 1</w:t>
            </w:r>
          </w:p>
          <w:p>
            <w:pPr>
              <w:spacing w:after="0"/>
            </w:pPr>
            <w:r>
              <w:rPr>
                <w:rFonts w:ascii="Montserrat" w:cs="Montserrat" w:eastAsia="Montserrat" w:hAnsi="Montserrat"/>
                <w:color w:val="67797E"/>
                <w:sz w:val="16"/>
                <w:szCs w:val="16"/>
              </w:rPr>
              <w:t xml:space="preserve">Application opens in NexSys</w:t>
            </w:r>
          </w:p>
        </w:tc>
        <w:tc>
          <w:tcPr>
            <w:tcW w:type="dxa" w:w="2232"/>
            <w:tcBorders>
              <w:top w:val="single" w:color="FE5B2C" w:sz="12"/>
              <w:left w:val="none" w:color="FFFFFF" w:sz="0"/>
              <w:bottom w:val="none" w:color="FFFFFF" w:sz="0"/>
              <w:right w:val="none" w:color="FFFFFF" w:sz="0"/>
            </w:tcBorders>
            <w:tcMar>
              <w:top w:type="dxa" w:w="100"/>
              <w:left w:type="dxa" w:w="60"/>
              <w:bottom w:type="dxa" w:w="60"/>
              <w:right w:type="dxa" w:w="120"/>
            </w:tcMar>
          </w:tcPr>
          <w:p>
            <w:pPr>
              <w:spacing w:after="20"/>
            </w:pPr>
            <w:r>
              <w:rPr>
                <w:rFonts w:ascii="PT Serif" w:cs="PT Serif" w:eastAsia="PT Serif" w:hAnsi="PT Serif"/>
                <w:b/>
                <w:bCs/>
                <w:color w:val="FE5B2C"/>
                <w:sz w:val="30"/>
                <w:szCs w:val="30"/>
              </w:rPr>
              <w:t xml:space="preserve">Nov 19</w:t>
            </w:r>
          </w:p>
          <w:p>
            <w:pPr>
              <w:spacing w:after="0"/>
            </w:pPr>
            <w:r>
              <w:rPr>
                <w:rFonts w:ascii="Montserrat" w:cs="Montserrat" w:eastAsia="Montserrat" w:hAnsi="Montserrat"/>
                <w:color w:val="67797E"/>
                <w:sz w:val="16"/>
                <w:szCs w:val="16"/>
              </w:rPr>
              <w:t xml:space="preserve">Applications due, 5 p.m.</w:t>
            </w:r>
          </w:p>
        </w:tc>
        <w:tc>
          <w:tcPr>
            <w:tcW w:type="dxa" w:w="2232"/>
            <w:tcBorders>
              <w:top w:val="single" w:color="1B3942" w:sz="12"/>
              <w:left w:val="none" w:color="FFFFFF" w:sz="0"/>
              <w:bottom w:val="none" w:color="FFFFFF" w:sz="0"/>
              <w:right w:val="none" w:color="FFFFFF" w:sz="0"/>
            </w:tcBorders>
            <w:tcMar>
              <w:top w:type="dxa" w:w="100"/>
              <w:left w:type="dxa" w:w="60"/>
              <w:bottom w:type="dxa" w:w="60"/>
              <w:right w:type="dxa" w:w="120"/>
            </w:tcMar>
          </w:tcPr>
          <w:p>
            <w:pPr>
              <w:spacing w:after="20"/>
            </w:pPr>
            <w:r>
              <w:rPr>
                <w:rFonts w:ascii="PT Serif" w:cs="PT Serif" w:eastAsia="PT Serif" w:hAnsi="PT Serif"/>
                <w:b/>
                <w:bCs/>
                <w:color w:val="1B3942"/>
                <w:sz w:val="30"/>
                <w:szCs w:val="30"/>
              </w:rPr>
              <w:t xml:space="preserve">Jan 15</w:t>
            </w:r>
          </w:p>
          <w:p>
            <w:pPr>
              <w:spacing w:after="0"/>
            </w:pPr>
            <w:r>
              <w:rPr>
                <w:rFonts w:ascii="Montserrat" w:cs="Montserrat" w:eastAsia="Montserrat" w:hAnsi="Montserrat"/>
                <w:color w:val="67797E"/>
                <w:sz w:val="16"/>
                <w:szCs w:val="16"/>
              </w:rPr>
              <w:t xml:space="preserve">Award decisions</w:t>
            </w:r>
          </w:p>
        </w:tc>
        <w:tc>
          <w:tcPr>
            <w:tcW w:type="dxa" w:w="2232"/>
            <w:tcBorders>
              <w:top w:val="single" w:color="1B3942" w:sz="12"/>
              <w:left w:val="none" w:color="FFFFFF" w:sz="0"/>
              <w:bottom w:val="none" w:color="FFFFFF" w:sz="0"/>
              <w:right w:val="none" w:color="FFFFFF" w:sz="0"/>
            </w:tcBorders>
            <w:tcMar>
              <w:top w:type="dxa" w:w="100"/>
              <w:left w:type="dxa" w:w="60"/>
              <w:bottom w:type="dxa" w:w="60"/>
              <w:right w:type="dxa" w:w="120"/>
            </w:tcMar>
          </w:tcPr>
          <w:p>
            <w:pPr>
              <w:spacing w:after="20"/>
            </w:pPr>
            <w:r>
              <w:rPr>
                <w:rFonts w:ascii="PT Serif" w:cs="PT Serif" w:eastAsia="PT Serif" w:hAnsi="PT Serif"/>
                <w:b/>
                <w:bCs/>
                <w:color w:val="1B3942"/>
                <w:sz w:val="30"/>
                <w:szCs w:val="30"/>
              </w:rPr>
              <w:t xml:space="preserve">March</w:t>
            </w:r>
          </w:p>
          <w:p>
            <w:pPr>
              <w:spacing w:after="0"/>
            </w:pPr>
            <w:r>
              <w:rPr>
                <w:rFonts w:ascii="Montserrat" w:cs="Montserrat" w:eastAsia="Montserrat" w:hAnsi="Montserrat"/>
                <w:color w:val="67797E"/>
                <w:sz w:val="16"/>
                <w:szCs w:val="16"/>
              </w:rPr>
              <w:t xml:space="preserve">First payments to fiscal agents</w:t>
            </w:r>
          </w:p>
        </w:tc>
        <w:tc>
          <w:tcPr>
            <w:tcW w:type="dxa" w:w="2232"/>
            <w:tcBorders>
              <w:top w:val="single" w:color="1B3942" w:sz="12"/>
              <w:left w:val="none" w:color="FFFFFF" w:sz="0"/>
              <w:bottom w:val="none" w:color="FFFFFF" w:sz="0"/>
              <w:right w:val="none" w:color="FFFFFF" w:sz="0"/>
            </w:tcBorders>
            <w:tcMar>
              <w:top w:type="dxa" w:w="100"/>
              <w:left w:type="dxa" w:w="60"/>
              <w:bottom w:type="dxa" w:w="60"/>
              <w:right w:type="dxa" w:w="120"/>
            </w:tcMar>
          </w:tcPr>
          <w:p>
            <w:pPr>
              <w:spacing w:after="20"/>
            </w:pPr>
            <w:r>
              <w:rPr>
                <w:rFonts w:ascii="PT Serif" w:cs="PT Serif" w:eastAsia="PT Serif" w:hAnsi="PT Serif"/>
                <w:b/>
                <w:bCs/>
                <w:color w:val="1B3942"/>
                <w:sz w:val="30"/>
                <w:szCs w:val="30"/>
              </w:rPr>
              <w:t xml:space="preserve">Spring 2027</w:t>
            </w:r>
          </w:p>
          <w:p>
            <w:pPr>
              <w:spacing w:after="0"/>
            </w:pPr>
            <w:r>
              <w:rPr>
                <w:rFonts w:ascii="Montserrat" w:cs="Montserrat" w:eastAsia="Montserrat" w:hAnsi="Montserrat"/>
                <w:color w:val="67797E"/>
                <w:sz w:val="16"/>
                <w:szCs w:val="16"/>
              </w:rPr>
              <w:t xml:space="preserve">Tutoring begins</w:t>
            </w:r>
          </w:p>
        </w:tc>
      </w:tr>
    </w:tbl>
    <w:p>
      <w:pPr>
        <w:spacing w:after="200"/>
      </w:pPr>
    </w:p>
    <w:p>
      <w:pPr>
        <w:spacing w:after="30"/>
      </w:pPr>
      <w:r>
        <w:rPr>
          <w:rFonts w:ascii="Montserrat" w:cs="Montserrat" w:eastAsia="Montserrat" w:hAnsi="Montserrat"/>
          <w:b/>
          <w:bCs/>
          <w:color w:val="1B3942"/>
          <w:spacing w:val="40"/>
          <w:sz w:val="14"/>
          <w:szCs w:val="14"/>
        </w:rPr>
        <w:t xml:space="preserve">YOUR LETTER OF SUPPORT IN THREE STEPS</w:t>
      </w:r>
    </w:p>
    <w:tbl>
      <w:tblPr>
        <w:tblW w:type="dxa" w:w="111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20"/>
        <w:gridCol w:w="3720"/>
        <w:gridCol w:w="3720"/>
      </w:tblGrid>
      <w:tr>
        <w:tc>
          <w:tcPr>
            <w:tcW w:type="dxa" w:w="3720"/>
            <w:tcBorders>
              <w:top w:val="none" w:color="FFFFFF" w:sz="0"/>
              <w:left w:val="none" w:color="FFFFFF" w:sz="0"/>
              <w:bottom w:val="none" w:color="FFFFFF" w:sz="0"/>
              <w:right w:val="none" w:color="FFFFFF" w:sz="0"/>
            </w:tcBorders>
            <w:tcMar>
              <w:top w:type="dxa" w:w="60"/>
              <w:left w:type="dxa" w:w="0"/>
              <w:bottom w:type="dxa" w:w="60"/>
              <w:right w:type="dxa" w:w="200"/>
            </w:tcMar>
          </w:tcPr>
          <w:p>
            <w:pPr>
              <w:spacing w:after="20"/>
            </w:pPr>
            <w:r>
              <w:rPr>
                <w:rFonts w:ascii="PT Serif" w:cs="PT Serif" w:eastAsia="PT Serif" w:hAnsi="PT Serif"/>
                <w:b/>
                <w:bCs/>
                <w:color w:val="1B3942"/>
                <w:sz w:val="28"/>
                <w:szCs w:val="28"/>
              </w:rPr>
              <w:t xml:space="preserve">1</w:t>
            </w:r>
          </w:p>
          <w:p>
            <w:pPr>
              <w:spacing w:after="0"/>
            </w:pPr>
            <w:r>
              <w:rPr>
                <w:rFonts w:ascii="Montserrat" w:cs="Montserrat" w:eastAsia="Montserrat" w:hAnsi="Montserrat"/>
                <w:color w:val="231F20"/>
                <w:sz w:val="17"/>
                <w:szCs w:val="17"/>
              </w:rPr>
              <w:t xml:space="preserve">Fill in the highlighted fields in the letter on the next page.</w:t>
            </w:r>
          </w:p>
        </w:tc>
        <w:tc>
          <w:tcPr>
            <w:tcW w:type="dxa" w:w="3720"/>
            <w:tcBorders>
              <w:top w:val="none" w:color="FFFFFF" w:sz="0"/>
              <w:left w:val="none" w:color="FFFFFF" w:sz="0"/>
              <w:bottom w:val="none" w:color="FFFFFF" w:sz="0"/>
              <w:right w:val="none" w:color="FFFFFF" w:sz="0"/>
            </w:tcBorders>
            <w:tcMar>
              <w:top w:type="dxa" w:w="60"/>
              <w:left w:type="dxa" w:w="0"/>
              <w:bottom w:type="dxa" w:w="60"/>
              <w:right w:type="dxa" w:w="200"/>
            </w:tcMar>
          </w:tcPr>
          <w:p>
            <w:pPr>
              <w:spacing w:after="20"/>
            </w:pPr>
            <w:r>
              <w:rPr>
                <w:rFonts w:ascii="PT Serif" w:cs="PT Serif" w:eastAsia="PT Serif" w:hAnsi="PT Serif"/>
                <w:b/>
                <w:bCs/>
                <w:color w:val="1B3942"/>
                <w:sz w:val="28"/>
                <w:szCs w:val="28"/>
              </w:rPr>
              <w:t xml:space="preserve">2</w:t>
            </w:r>
          </w:p>
          <w:p>
            <w:pPr>
              <w:spacing w:after="0"/>
            </w:pPr>
            <w:r>
              <w:rPr>
                <w:rFonts w:ascii="Montserrat" w:cs="Montserrat" w:eastAsia="Montserrat" w:hAnsi="Montserrat"/>
                <w:color w:val="231F20"/>
                <w:sz w:val="17"/>
                <w:szCs w:val="17"/>
              </w:rPr>
              <w:t xml:space="preserve">Copy it onto district letterhead and have your superintendent sign.</w:t>
            </w:r>
          </w:p>
        </w:tc>
        <w:tc>
          <w:tcPr>
            <w:tcW w:type="dxa" w:w="3720"/>
            <w:tcBorders>
              <w:top w:val="none" w:color="FFFFFF" w:sz="0"/>
              <w:left w:val="none" w:color="FFFFFF" w:sz="0"/>
              <w:bottom w:val="none" w:color="FFFFFF" w:sz="0"/>
              <w:right w:val="none" w:color="FFFFFF" w:sz="0"/>
            </w:tcBorders>
            <w:tcMar>
              <w:top w:type="dxa" w:w="60"/>
              <w:left w:type="dxa" w:w="0"/>
              <w:bottom w:type="dxa" w:w="60"/>
              <w:right w:type="dxa" w:w="200"/>
            </w:tcMar>
          </w:tcPr>
          <w:p>
            <w:pPr>
              <w:spacing w:after="20"/>
            </w:pPr>
            <w:r>
              <w:rPr>
                <w:rFonts w:ascii="PT Serif" w:cs="PT Serif" w:eastAsia="PT Serif" w:hAnsi="PT Serif"/>
                <w:b/>
                <w:bCs/>
                <w:color w:val="1B3942"/>
                <w:sz w:val="28"/>
                <w:szCs w:val="28"/>
              </w:rPr>
              <w:t xml:space="preserve">3</w:t>
            </w:r>
          </w:p>
          <w:p>
            <w:pPr>
              <w:spacing w:after="0"/>
            </w:pPr>
            <w:r>
              <w:rPr>
                <w:rFonts w:ascii="Montserrat" w:cs="Montserrat" w:eastAsia="Montserrat" w:hAnsi="Montserrat"/>
                <w:color w:val="231F20"/>
                <w:sz w:val="17"/>
                <w:szCs w:val="17"/>
              </w:rPr>
              <w:t xml:space="preserve">Send it to your fiscal agent to upload in NexSys, and copy your Paper contact. Send it early, well before November 19.</w:t>
            </w:r>
          </w:p>
        </w:tc>
      </w:tr>
    </w:tbl>
    <w:p>
      <w:pPr>
        <w:pBdr>
          <w:top w:val="single" w:color="D9D2C7" w:sz="4" w:space="8"/>
        </w:pBdr>
        <w:spacing w:before="160"/>
      </w:pPr>
      <w:r>
        <w:rPr>
          <w:rFonts w:ascii="Montserrat" w:cs="Montserrat" w:eastAsia="Montserrat" w:hAnsi="Montserrat"/>
          <w:color w:val="67797E"/>
          <w:sz w:val="16"/>
          <w:szCs w:val="16"/>
        </w:rPr>
        <w:t xml:space="preserve">Questions? Book time with our Michigan team at </w:t>
      </w:r>
      <w:r>
        <w:rPr>
          <w:rFonts w:ascii="Montserrat" w:cs="Montserrat" w:eastAsia="Montserrat" w:hAnsi="Montserrat"/>
          <w:b/>
          <w:bCs/>
          <w:color w:val="1B3942"/>
          <w:sz w:val="16"/>
          <w:szCs w:val="16"/>
        </w:rPr>
        <w:t xml:space="preserve">paper.co/michigan</w:t>
      </w:r>
    </w:p>
    <w:p>
      <w:pPr>
        <w:sectPr>
          <w:pgSz w:w="12240" w:h="15840" w:orient="portrait"/>
          <w:pgMar w:top="640" w:right="540" w:bottom="640" w:left="540" w:header="708" w:footer="708" w:gutter="0"/>
          <w:pgNumType/>
          <w:docGrid w:linePitch="360"/>
        </w:sectPr>
      </w:pPr>
    </w:p>
    <w:p>
      <w:pPr>
        <w:spacing w:after="160" w:line="264"/>
      </w:pPr>
      <w:r>
        <w:rPr>
          <w:rFonts w:ascii="Aptos" w:cs="Aptos" w:eastAsia="Aptos" w:hAnsi="Aptos"/>
          <w:color w:val="000000"/>
          <w:sz w:val="22"/>
          <w:szCs w:val="22"/>
          <w:highlight w:val="yellow"/>
        </w:rPr>
        <w:t xml:space="preserve">[District Letterhead]</w:t>
      </w:r>
    </w:p>
    <w:p>
      <w:pPr>
        <w:spacing w:after="160" w:line="264"/>
      </w:pPr>
      <w:r>
        <w:rPr>
          <w:rFonts w:ascii="Aptos" w:cs="Aptos" w:eastAsia="Aptos" w:hAnsi="Aptos"/>
          <w:color w:val="000000"/>
          <w:sz w:val="22"/>
          <w:szCs w:val="22"/>
          <w:highlight w:val="yellow"/>
        </w:rPr>
        <w:t xml:space="preserve">[Date]</w:t>
      </w:r>
    </w:p>
    <w:p>
      <w:pPr>
        <w:spacing w:after="160"/>
      </w:pPr>
      <w:r>
        <w:rPr>
          <w:rFonts w:ascii="Aptos" w:cs="Aptos" w:eastAsia="Aptos" w:hAnsi="Aptos"/>
          <w:sz w:val="22"/>
          <w:szCs w:val="22"/>
        </w:rPr>
        <w:t xml:space="preserve">Michigan Department of Education</w:t>
      </w:r>
      <w:r>
        <w:rPr>
          <w:rFonts w:ascii="Aptos" w:cs="Aptos" w:eastAsia="Aptos" w:hAnsi="Aptos"/>
          <w:sz w:val="22"/>
          <w:szCs w:val="22"/>
        </w:rPr>
        <w:br/>
        <w:t xml:space="preserve">Office of Curriculum and Instruction</w:t>
      </w:r>
      <w:r>
        <w:rPr>
          <w:rFonts w:ascii="Aptos" w:cs="Aptos" w:eastAsia="Aptos" w:hAnsi="Aptos"/>
          <w:i/>
          <w:iCs/>
          <w:color w:val="4C94D8"/>
          <w:sz w:val="22"/>
          <w:szCs w:val="22"/>
        </w:rPr>
        <w:br/>
        <w:t xml:space="preserve">[Letter must be sent to grant fiscal to upload into NexSys]</w:t>
      </w:r>
    </w:p>
    <w:p>
      <w:pPr>
        <w:spacing w:after="160" w:line="264"/>
      </w:pPr>
      <w:r>
        <w:rPr>
          <w:rFonts w:ascii="Aptos" w:cs="Aptos" w:eastAsia="Aptos" w:hAnsi="Aptos"/>
          <w:color w:val="000000"/>
          <w:sz w:val="22"/>
          <w:szCs w:val="22"/>
        </w:rPr>
        <w:t xml:space="preserve">Subject: Letter of Support for Participation in High-Impact Tutoring Under Section 35p</w:t>
      </w:r>
    </w:p>
    <w:p>
      <w:pPr>
        <w:spacing w:after="160" w:line="264"/>
      </w:pPr>
      <w:r>
        <w:rPr>
          <w:rFonts w:ascii="Aptos" w:cs="Aptos" w:eastAsia="Aptos" w:hAnsi="Aptos"/>
          <w:color w:val="000000"/>
          <w:sz w:val="22"/>
          <w:szCs w:val="22"/>
        </w:rPr>
        <w:t xml:space="preserve">Dear Colleagues,</w:t>
      </w:r>
    </w:p>
    <w:p>
      <w:pPr>
        <w:spacing w:after="160" w:line="264"/>
      </w:pPr>
      <w:r>
        <w:rPr>
          <w:rFonts w:ascii="Aptos" w:cs="Aptos" w:eastAsia="Aptos" w:hAnsi="Aptos"/>
          <w:color w:val="000000"/>
          <w:sz w:val="22"/>
          <w:szCs w:val="22"/>
        </w:rPr>
        <w:t xml:space="preserve">On behalf of the </w:t>
      </w:r>
      <w:r>
        <w:rPr>
          <w:rFonts w:ascii="Aptos" w:cs="Aptos" w:eastAsia="Aptos" w:hAnsi="Aptos"/>
          <w:color w:val="000000"/>
          <w:sz w:val="22"/>
          <w:szCs w:val="22"/>
          <w:highlight w:val="yellow"/>
        </w:rPr>
        <w:t xml:space="preserve">[Name of School District]</w:t>
      </w:r>
      <w:r>
        <w:rPr>
          <w:rFonts w:ascii="Aptos" w:cs="Aptos" w:eastAsia="Aptos" w:hAnsi="Aptos"/>
          <w:color w:val="000000"/>
          <w:sz w:val="22"/>
          <w:szCs w:val="22"/>
        </w:rPr>
        <w:t xml:space="preserve">, I am pleased to affirm our district’s commitment to partnering with Paper (GROW High-Impact Tutoring) and </w:t>
      </w:r>
      <w:r>
        <w:rPr>
          <w:rFonts w:ascii="Aptos" w:cs="Aptos" w:eastAsia="Aptos" w:hAnsi="Aptos"/>
          <w:color w:val="000000"/>
          <w:sz w:val="22"/>
          <w:szCs w:val="22"/>
          <w:highlight w:val="yellow"/>
        </w:rPr>
        <w:t xml:space="preserve">[Fiscal Entity Name]</w:t>
      </w:r>
      <w:r>
        <w:rPr>
          <w:rFonts w:ascii="Aptos" w:cs="Aptos" w:eastAsia="Aptos" w:hAnsi="Aptos"/>
          <w:color w:val="000000"/>
          <w:sz w:val="22"/>
          <w:szCs w:val="22"/>
        </w:rPr>
        <w:t xml:space="preserve"> to implement high-impact tutoring services under Section 388.1635p. This initiative aligns closely with our district’s mission to accelerate student learning and provide targeted supports that meet the needs of our learners.</w:t>
      </w:r>
    </w:p>
    <w:p>
      <w:pPr>
        <w:pStyle w:val="ListParagraph"/>
        <w:numPr>
          <w:ilvl w:val="0"/>
          <w:numId w:val="3"/>
        </w:numPr>
        <w:spacing w:after="60" w:line="264"/>
      </w:pPr>
      <w:r>
        <w:rPr>
          <w:rFonts w:ascii="Aptos" w:cs="Aptos" w:eastAsia="Aptos" w:hAnsi="Aptos"/>
          <w:sz w:val="22"/>
          <w:szCs w:val="22"/>
        </w:rPr>
        <w:t xml:space="preserve">Student Identification and Parent Engagement: </w:t>
      </w:r>
      <w:r>
        <w:rPr>
          <w:rFonts w:ascii="Aptos" w:cs="Aptos" w:eastAsia="Aptos" w:hAnsi="Aptos"/>
          <w:color w:val="000000"/>
          <w:sz w:val="22"/>
          <w:szCs w:val="22"/>
        </w:rPr>
        <w:t xml:space="preserve">Our district will collaborate with the eligible tutoring partner to identify students who would benefit most from high-impact tutoring. We will communicate with parents and legal guardians to explain the program, outline anticipated student outcomes, and encourage active participation.</w:t>
      </w:r>
    </w:p>
    <w:p>
      <w:pPr>
        <w:pStyle w:val="ListParagraph"/>
        <w:numPr>
          <w:ilvl w:val="0"/>
          <w:numId w:val="3"/>
        </w:numPr>
        <w:spacing w:after="60" w:line="264"/>
      </w:pPr>
      <w:r>
        <w:rPr>
          <w:rFonts w:ascii="Aptos" w:cs="Aptos" w:eastAsia="Aptos" w:hAnsi="Aptos"/>
          <w:sz w:val="22"/>
          <w:szCs w:val="22"/>
        </w:rPr>
        <w:t xml:space="preserve">Integration with MICIP: </w:t>
      </w:r>
      <w:r>
        <w:rPr>
          <w:rFonts w:ascii="Aptos" w:cs="Aptos" w:eastAsia="Aptos" w:hAnsi="Aptos"/>
          <w:color w:val="000000"/>
          <w:sz w:val="22"/>
          <w:szCs w:val="22"/>
        </w:rPr>
        <w:t xml:space="preserve">To the extent possible, we will integrate this tutoring initiative into our Michigan Integrated Continuous Improvement Process (MICIP) plan, ensuring alignment with existing district priorities and improvement strategies.</w:t>
      </w:r>
    </w:p>
    <w:p>
      <w:pPr>
        <w:pStyle w:val="ListParagraph"/>
        <w:numPr>
          <w:ilvl w:val="0"/>
          <w:numId w:val="3"/>
        </w:numPr>
        <w:spacing w:after="60" w:line="264"/>
      </w:pPr>
      <w:r>
        <w:rPr>
          <w:rFonts w:ascii="Aptos" w:cs="Aptos" w:eastAsia="Aptos" w:hAnsi="Aptos"/>
          <w:sz w:val="22"/>
          <w:szCs w:val="22"/>
        </w:rPr>
        <w:t xml:space="preserve">Scheduling and Time Allocation: </w:t>
      </w:r>
      <w:r>
        <w:rPr>
          <w:rFonts w:ascii="Aptos" w:cs="Aptos" w:eastAsia="Aptos" w:hAnsi="Aptos"/>
          <w:color w:val="000000"/>
          <w:sz w:val="22"/>
          <w:szCs w:val="22"/>
        </w:rPr>
        <w:t xml:space="preserve">Our district agrees to establish dedicated time before, during, or after the school day for tutoring, ensuring sessions occur outside of regular Tier 1 instruction. We will identify appropriate schedule placements and designate district and building liaisons to support successful implementation.</w:t>
      </w:r>
    </w:p>
    <w:p>
      <w:pPr>
        <w:pStyle w:val="ListParagraph"/>
        <w:numPr>
          <w:ilvl w:val="0"/>
          <w:numId w:val="3"/>
        </w:numPr>
        <w:spacing w:after="60" w:line="264"/>
      </w:pPr>
      <w:r>
        <w:rPr>
          <w:rFonts w:ascii="Aptos" w:cs="Aptos" w:eastAsia="Aptos" w:hAnsi="Aptos"/>
          <w:sz w:val="22"/>
          <w:szCs w:val="22"/>
        </w:rPr>
        <w:t xml:space="preserve">Commitment to Implementation Fidelity: </w:t>
      </w:r>
      <w:r>
        <w:rPr>
          <w:rFonts w:ascii="Aptos" w:cs="Aptos" w:eastAsia="Aptos" w:hAnsi="Aptos"/>
          <w:color w:val="000000"/>
          <w:sz w:val="22"/>
          <w:szCs w:val="22"/>
        </w:rPr>
        <w:t xml:space="preserve">We will commit to implementing the tutoring program with fidelity (including student usage and frequency)</w:t>
      </w:r>
    </w:p>
    <w:p>
      <w:pPr>
        <w:pStyle w:val="ListParagraph"/>
        <w:numPr>
          <w:ilvl w:val="0"/>
          <w:numId w:val="3"/>
        </w:numPr>
        <w:spacing w:after="60" w:line="264"/>
      </w:pPr>
      <w:r>
        <w:rPr>
          <w:rFonts w:ascii="Aptos" w:cs="Aptos" w:eastAsia="Aptos" w:hAnsi="Aptos"/>
          <w:sz w:val="22"/>
          <w:szCs w:val="22"/>
        </w:rPr>
        <w:t xml:space="preserve">Data Sharing: </w:t>
      </w:r>
      <w:r>
        <w:rPr>
          <w:rFonts w:ascii="Aptos" w:cs="Aptos" w:eastAsia="Aptos" w:hAnsi="Aptos"/>
          <w:color w:val="000000"/>
          <w:sz w:val="22"/>
          <w:szCs w:val="22"/>
        </w:rPr>
        <w:t xml:space="preserve">Our district will participate in data-sharing and training necessary to maximize program impact.</w:t>
      </w:r>
    </w:p>
    <w:p>
      <w:pPr>
        <w:pStyle w:val="ListParagraph"/>
        <w:numPr>
          <w:ilvl w:val="0"/>
          <w:numId w:val="3"/>
        </w:numPr>
        <w:spacing w:after="60" w:line="264"/>
      </w:pPr>
      <w:r>
        <w:rPr>
          <w:rFonts w:ascii="Aptos" w:cs="Aptos" w:eastAsia="Aptos" w:hAnsi="Aptos"/>
          <w:sz w:val="22"/>
          <w:szCs w:val="22"/>
        </w:rPr>
        <w:t xml:space="preserve">Projected Participation: </w:t>
      </w:r>
      <w:r>
        <w:rPr>
          <w:rFonts w:ascii="Aptos" w:cs="Aptos" w:eastAsia="Aptos" w:hAnsi="Aptos"/>
          <w:color w:val="000000"/>
          <w:sz w:val="22"/>
          <w:szCs w:val="22"/>
        </w:rPr>
        <w:t xml:space="preserve">We anticipate serving approximately </w:t>
      </w:r>
      <w:r>
        <w:rPr>
          <w:rFonts w:ascii="Aptos" w:cs="Aptos" w:eastAsia="Aptos" w:hAnsi="Aptos"/>
          <w:color w:val="000000"/>
          <w:sz w:val="22"/>
          <w:szCs w:val="22"/>
          <w:highlight w:val="yellow"/>
        </w:rPr>
        <w:t xml:space="preserve">[Projected Number]</w:t>
      </w:r>
      <w:r>
        <w:rPr>
          <w:rFonts w:ascii="Aptos" w:cs="Aptos" w:eastAsia="Aptos" w:hAnsi="Aptos"/>
          <w:color w:val="000000"/>
          <w:sz w:val="22"/>
          <w:szCs w:val="22"/>
        </w:rPr>
        <w:t xml:space="preserve"> students during the program period in the </w:t>
      </w:r>
      <w:r>
        <w:rPr>
          <w:rFonts w:ascii="Aptos" w:cs="Aptos" w:eastAsia="Aptos" w:hAnsi="Aptos"/>
          <w:color w:val="000000"/>
          <w:sz w:val="22"/>
          <w:szCs w:val="22"/>
          <w:highlight w:val="yellow"/>
        </w:rPr>
        <w:t xml:space="preserve">[grant targeted content area(s)]</w:t>
      </w:r>
      <w:r>
        <w:rPr>
          <w:rFonts w:ascii="Aptos" w:cs="Aptos" w:eastAsia="Aptos" w:hAnsi="Aptos"/>
          <w:color w:val="000000"/>
          <w:sz w:val="22"/>
          <w:szCs w:val="22"/>
        </w:rPr>
        <w:t xml:space="preserve"> and </w:t>
      </w:r>
      <w:r>
        <w:rPr>
          <w:rFonts w:ascii="Aptos" w:cs="Aptos" w:eastAsia="Aptos" w:hAnsi="Aptos"/>
          <w:color w:val="000000"/>
          <w:sz w:val="22"/>
          <w:szCs w:val="22"/>
          <w:highlight w:val="yellow"/>
        </w:rPr>
        <w:t xml:space="preserve">[demographic groups identified as the target of the grant funds in the application]</w:t>
      </w:r>
      <w:r>
        <w:rPr>
          <w:rFonts w:ascii="Aptos" w:cs="Aptos" w:eastAsia="Aptos" w:hAnsi="Aptos"/>
          <w:color w:val="000000"/>
          <w:sz w:val="22"/>
          <w:szCs w:val="22"/>
        </w:rPr>
        <w:t xml:space="preserve">.</w:t>
      </w:r>
    </w:p>
    <w:p>
      <w:pPr>
        <w:pStyle w:val="ListParagraph"/>
        <w:numPr>
          <w:ilvl w:val="0"/>
          <w:numId w:val="3"/>
        </w:numPr>
        <w:spacing w:after="60" w:line="264"/>
      </w:pPr>
      <w:r>
        <w:rPr>
          <w:rFonts w:ascii="Aptos" w:cs="Aptos" w:eastAsia="Aptos" w:hAnsi="Aptos"/>
          <w:sz w:val="22"/>
          <w:szCs w:val="22"/>
        </w:rPr>
        <w:t xml:space="preserve">Program Timeline and Readiness: </w:t>
      </w:r>
      <w:r>
        <w:rPr>
          <w:rFonts w:ascii="Aptos" w:cs="Aptos" w:eastAsia="Aptos" w:hAnsi="Aptos"/>
          <w:color w:val="000000"/>
          <w:sz w:val="22"/>
          <w:szCs w:val="22"/>
        </w:rPr>
        <w:t xml:space="preserve">Our district understands the projected Spring 2027 launch and confirms readiness to collaborate with the tutoring partner to ensure an effective rollout. District burden will remain limited to the statutory responsibilities described above.</w:t>
      </w:r>
    </w:p>
    <w:p>
      <w:pPr>
        <w:spacing w:after="160" w:before="120" w:line="264"/>
      </w:pPr>
      <w:r>
        <w:rPr>
          <w:rFonts w:ascii="Aptos" w:cs="Aptos" w:eastAsia="Aptos" w:hAnsi="Aptos"/>
          <w:color w:val="000000"/>
          <w:sz w:val="22"/>
          <w:szCs w:val="22"/>
        </w:rPr>
        <w:t xml:space="preserve">The </w:t>
      </w:r>
      <w:r>
        <w:rPr>
          <w:rFonts w:ascii="Aptos" w:cs="Aptos" w:eastAsia="Aptos" w:hAnsi="Aptos"/>
          <w:color w:val="000000"/>
          <w:sz w:val="22"/>
          <w:szCs w:val="22"/>
          <w:highlight w:val="yellow"/>
        </w:rPr>
        <w:t xml:space="preserve">[Name of School District]</w:t>
      </w:r>
      <w:r>
        <w:rPr>
          <w:rFonts w:ascii="Aptos" w:cs="Aptos" w:eastAsia="Aptos" w:hAnsi="Aptos"/>
          <w:color w:val="000000"/>
          <w:sz w:val="22"/>
          <w:szCs w:val="22"/>
        </w:rPr>
        <w:t xml:space="preserve"> is committed to advancing equitable, evidence-based </w:t>
      </w:r>
      <w:r>
        <w:rPr>
          <w:rFonts w:ascii="Aptos" w:cs="Aptos" w:eastAsia="Aptos" w:hAnsi="Aptos"/>
          <w:color w:val="000000"/>
          <w:sz w:val="22"/>
          <w:szCs w:val="22"/>
          <w:highlight w:val="yellow"/>
        </w:rPr>
        <w:t xml:space="preserve">[grant targeted content area(s)]</w:t>
      </w:r>
      <w:r>
        <w:rPr>
          <w:rFonts w:ascii="Aptos" w:cs="Aptos" w:eastAsia="Aptos" w:hAnsi="Aptos"/>
          <w:color w:val="000000"/>
          <w:sz w:val="22"/>
          <w:szCs w:val="22"/>
        </w:rPr>
        <w:t xml:space="preserve"> supports for our students. We value this partnership and look forward to the meaningful academic gains this initiative will help achieve.</w:t>
      </w:r>
    </w:p>
    <w:p>
      <w:pPr>
        <w:spacing w:after="360"/>
      </w:pPr>
      <w:r>
        <w:rPr>
          <w:rFonts w:ascii="Aptos" w:cs="Aptos" w:eastAsia="Aptos" w:hAnsi="Aptos"/>
          <w:color w:val="000000"/>
          <w:sz w:val="22"/>
          <w:szCs w:val="22"/>
        </w:rPr>
        <w:t xml:space="preserve">Sincerely,</w:t>
      </w:r>
    </w:p>
    <w:p>
      <w:pPr>
        <w:spacing w:after="0"/>
      </w:pPr>
      <w:r>
        <w:rPr>
          <w:rFonts w:ascii="Aptos" w:cs="Aptos" w:eastAsia="Aptos" w:hAnsi="Aptos"/>
          <w:color w:val="000000"/>
          <w:sz w:val="22"/>
          <w:szCs w:val="22"/>
          <w:highlight w:val="yellow"/>
        </w:rPr>
        <w:t xml:space="preserve">[Superintendent Name]</w:t>
      </w:r>
    </w:p>
    <w:p>
      <w:pPr>
        <w:spacing w:after="0"/>
      </w:pPr>
      <w:r>
        <w:rPr>
          <w:rFonts w:ascii="Aptos" w:cs="Aptos" w:eastAsia="Aptos" w:hAnsi="Aptos"/>
          <w:color w:val="000000"/>
          <w:sz w:val="22"/>
          <w:szCs w:val="22"/>
        </w:rPr>
        <w:t xml:space="preserve">Superintendent, </w:t>
      </w:r>
      <w:r>
        <w:rPr>
          <w:rFonts w:ascii="Aptos" w:cs="Aptos" w:eastAsia="Aptos" w:hAnsi="Aptos"/>
          <w:color w:val="000000"/>
          <w:sz w:val="22"/>
          <w:szCs w:val="22"/>
          <w:highlight w:val="yellow"/>
        </w:rPr>
        <w:t xml:space="preserve">[Name of School District]</w:t>
      </w:r>
    </w:p>
    <w:p>
      <w:pPr>
        <w:spacing w:after="0"/>
      </w:pPr>
      <w:r>
        <w:rPr>
          <w:rFonts w:ascii="Aptos" w:cs="Aptos" w:eastAsia="Aptos" w:hAnsi="Aptos"/>
          <w:color w:val="000000"/>
          <w:sz w:val="22"/>
          <w:szCs w:val="22"/>
          <w:highlight w:val="yellow"/>
        </w:rPr>
        <w:t xml:space="preserve">[Email Address]</w:t>
      </w:r>
    </w:p>
    <w:p>
      <w:pPr>
        <w:spacing w:after="0"/>
      </w:pPr>
      <w:r>
        <w:rPr>
          <w:rFonts w:ascii="Aptos" w:cs="Aptos" w:eastAsia="Aptos" w:hAnsi="Aptos"/>
          <w:color w:val="000000"/>
          <w:sz w:val="22"/>
          <w:szCs w:val="22"/>
          <w:highlight w:val="yellow"/>
        </w:rPr>
        <w:t xml:space="preserve">[Phone Number]</w:t>
      </w:r>
    </w:p>
    <w:sectPr>
      <w:pgSz w:w="12240" w:h="15840" w:orient="portrait"/>
      <w:pgMar w:top="1080" w:right="1300" w:bottom="108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60" w:hanging="200"/>
      </w:pPr>
      <w:rPr>
        <w:color w:val="1B3942"/>
      </w:rPr>
    </w:lvl>
  </w:abstractNum>
  <w:abstractNum w:abstractNumId="3"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ff5857276e5bfa2bbc2597d01f7f25213e032f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2026-10-16T14:22:44.303Z</dcterms:created>
  <dcterms:modified xsi:type="dcterms:W3CDTF">2026-10-16T14:22:44.307Z</dcterms:modified>
</cp:coreProperties>
</file>

<file path=docProps/custom.xml><?xml version="1.0" encoding="utf-8"?>
<Properties xmlns="http://schemas.openxmlformats.org/officeDocument/2006/custom-properties" xmlns:vt="http://schemas.openxmlformats.org/officeDocument/2006/docPropsVTypes"/>
</file>